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01" w:rsidRDefault="00C16501">
      <w:pPr>
        <w:ind w:firstLine="709"/>
        <w:contextualSpacing/>
        <w:jc w:val="both"/>
      </w:pPr>
    </w:p>
    <w:p w:rsidR="00C16501" w:rsidRDefault="00453DE4">
      <w:pPr>
        <w:ind w:firstLine="709"/>
        <w:contextualSpacing/>
        <w:jc w:val="both"/>
        <w:rPr>
          <w:b/>
        </w:rPr>
      </w:pPr>
      <w:r>
        <w:rPr>
          <w:b/>
        </w:rPr>
        <w:t>Изменения трудового законодательства в сфере регламентации сверхурочного труда.</w:t>
      </w:r>
    </w:p>
    <w:p w:rsidR="00C16501" w:rsidRDefault="00C16501">
      <w:pPr>
        <w:ind w:firstLine="709"/>
        <w:contextualSpacing/>
        <w:jc w:val="both"/>
        <w:rPr>
          <w:b/>
        </w:rPr>
      </w:pPr>
    </w:p>
    <w:p w:rsidR="00C16501" w:rsidRDefault="00453DE4">
      <w:pPr>
        <w:ind w:firstLine="709"/>
        <w:contextualSpacing/>
        <w:jc w:val="both"/>
      </w:pPr>
      <w:r>
        <w:t xml:space="preserve">С 1 сентября 2026 </w:t>
      </w:r>
      <w:r>
        <w:t>года вступят в силу поправки к Трудовому кодексу Российской Федерации (далее – ТК РФ) связанные со сверхурочным трудом.</w:t>
      </w:r>
    </w:p>
    <w:p w:rsidR="00C16501" w:rsidRDefault="00453DE4">
      <w:pPr>
        <w:ind w:firstLine="709"/>
        <w:contextualSpacing/>
        <w:jc w:val="both"/>
      </w:pPr>
      <w:r>
        <w:rPr>
          <w:color w:val="333333"/>
        </w:rPr>
        <w:t>Так, Федеральным законом от 25.05.2026 № 144-ФЗ внесены изменения в Трудовой кодекс Российской Федерации, согласно которым продолжительн</w:t>
      </w:r>
      <w:r>
        <w:rPr>
          <w:color w:val="333333"/>
        </w:rPr>
        <w:t>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его работодателя.</w:t>
      </w:r>
    </w:p>
    <w:p w:rsidR="00C16501" w:rsidRDefault="00453DE4">
      <w:pPr>
        <w:ind w:firstLine="709"/>
        <w:contextualSpacing/>
        <w:jc w:val="both"/>
      </w:pPr>
      <w:r>
        <w:rPr>
          <w:color w:val="333333"/>
        </w:rPr>
        <w:t>Закрепляются дополнительные гарант</w:t>
      </w:r>
      <w:r>
        <w:rPr>
          <w:color w:val="333333"/>
        </w:rPr>
        <w:t>ии привлекаемому к сверхурочной работе сотруднику, устанавливается единый порядок ее оплаты. Поручение такой работы сверх 120 часов в год допускается с письменного согласия работника.</w:t>
      </w:r>
    </w:p>
    <w:p w:rsidR="00C16501" w:rsidRDefault="00453DE4">
      <w:pPr>
        <w:ind w:firstLine="709"/>
        <w:contextualSpacing/>
        <w:jc w:val="both"/>
      </w:pPr>
      <w:proofErr w:type="gramStart"/>
      <w:r>
        <w:rPr>
          <w:color w:val="333333"/>
        </w:rPr>
        <w:t>Сверхурочная работа оплачивается исходя из размера заработной платы, вкл</w:t>
      </w:r>
      <w:r>
        <w:rPr>
          <w:color w:val="333333"/>
        </w:rPr>
        <w:t>ючая компенсационные и стимулирующие выплаты, в пределах 120 часов в год за первые два часа работы не менее чем в полуторном размере, за последующие часы – не менее чем в двойном размере, начиная со 121-го часа – не менее чем в двойном размере за каждый ча</w:t>
      </w:r>
      <w:r>
        <w:rPr>
          <w:color w:val="333333"/>
        </w:rPr>
        <w:t>с.</w:t>
      </w:r>
      <w:proofErr w:type="gramEnd"/>
    </w:p>
    <w:p w:rsidR="00C16501" w:rsidRDefault="00453DE4">
      <w:pPr>
        <w:ind w:firstLine="709"/>
        <w:contextualSpacing/>
        <w:jc w:val="both"/>
      </w:pPr>
      <w:r>
        <w:rPr>
          <w:color w:val="333333"/>
        </w:rPr>
        <w:t>Работник по своему желанию может выбрать дополнительные дни отдыха вместо повышенной оплаты сверхурочной работы.</w:t>
      </w:r>
    </w:p>
    <w:p w:rsidR="00C16501" w:rsidRDefault="00453DE4">
      <w:pPr>
        <w:ind w:firstLine="709"/>
        <w:contextualSpacing/>
        <w:jc w:val="both"/>
      </w:pPr>
      <w:r>
        <w:rPr>
          <w:color w:val="333333"/>
        </w:rPr>
        <w:t xml:space="preserve">При прохождении диспансеризации работники, трудящиеся сверхурочно более 120 часов в год, освобождаются от работы на один рабочий день в год </w:t>
      </w:r>
      <w:r>
        <w:rPr>
          <w:color w:val="333333"/>
        </w:rPr>
        <w:t>с сохранением среднего заработка.</w:t>
      </w:r>
    </w:p>
    <w:p w:rsidR="00C16501" w:rsidRDefault="00453DE4">
      <w:pPr>
        <w:ind w:firstLine="709"/>
        <w:contextualSpacing/>
        <w:jc w:val="both"/>
      </w:pPr>
      <w:r>
        <w:rPr>
          <w:color w:val="333333"/>
        </w:rPr>
        <w:t xml:space="preserve">Определены категории работников, продолжительность сверхурочного труда которых не должна превышать 120 часов в год, а также </w:t>
      </w:r>
      <w:proofErr w:type="gramStart"/>
      <w:r>
        <w:rPr>
          <w:color w:val="333333"/>
        </w:rPr>
        <w:t>привлечение</w:t>
      </w:r>
      <w:proofErr w:type="gramEnd"/>
      <w:r>
        <w:rPr>
          <w:color w:val="333333"/>
        </w:rPr>
        <w:t xml:space="preserve"> которых к сверхурочной работе в течение года более 120 часов допускается только с их п</w:t>
      </w:r>
      <w:r>
        <w:rPr>
          <w:color w:val="333333"/>
        </w:rPr>
        <w:t>исьменного согласия и при условии, что это не запрещено им соответствии с медицинским заключением.</w:t>
      </w:r>
    </w:p>
    <w:p w:rsidR="00C16501" w:rsidRDefault="00C16501">
      <w:pPr>
        <w:ind w:firstLine="709"/>
        <w:contextualSpacing/>
        <w:jc w:val="both"/>
      </w:pPr>
    </w:p>
    <w:sectPr w:rsidR="00C16501" w:rsidSect="00C16501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6501"/>
    <w:rsid w:val="00453DE4"/>
    <w:rsid w:val="00C1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16501"/>
    <w:pPr>
      <w:spacing w:after="200" w:line="276" w:lineRule="auto"/>
      <w:ind w:firstLine="0"/>
      <w:jc w:val="left"/>
    </w:pPr>
  </w:style>
  <w:style w:type="paragraph" w:styleId="10">
    <w:name w:val="heading 1"/>
    <w:next w:val="a"/>
    <w:link w:val="11"/>
    <w:uiPriority w:val="9"/>
    <w:qFormat/>
    <w:rsid w:val="00C1650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16501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C16501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16501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1650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6501"/>
  </w:style>
  <w:style w:type="paragraph" w:styleId="21">
    <w:name w:val="toc 2"/>
    <w:next w:val="a"/>
    <w:link w:val="22"/>
    <w:uiPriority w:val="39"/>
    <w:rsid w:val="00C16501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C165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16501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C165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16501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C165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16501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C16501"/>
    <w:rPr>
      <w:rFonts w:ascii="XO Thames" w:hAnsi="XO Thames"/>
      <w:sz w:val="28"/>
    </w:rPr>
  </w:style>
  <w:style w:type="paragraph" w:customStyle="1" w:styleId="Endnote">
    <w:name w:val="Endnote"/>
    <w:link w:val="Endnote0"/>
    <w:rsid w:val="00C16501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1650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165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16501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C1650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165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1650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16501"/>
    <w:rPr>
      <w:color w:val="0000FF"/>
      <w:u w:val="single"/>
    </w:rPr>
  </w:style>
  <w:style w:type="character" w:styleId="a3">
    <w:name w:val="Hyperlink"/>
    <w:link w:val="12"/>
    <w:rsid w:val="00C16501"/>
    <w:rPr>
      <w:color w:val="0000FF"/>
      <w:u w:val="single"/>
    </w:rPr>
  </w:style>
  <w:style w:type="paragraph" w:customStyle="1" w:styleId="Footnote">
    <w:name w:val="Footnote"/>
    <w:link w:val="Footnote0"/>
    <w:rsid w:val="00C16501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50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16501"/>
    <w:pPr>
      <w:ind w:firstLine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C1650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6501"/>
    <w:rPr>
      <w:rFonts w:ascii="XO Thames" w:hAnsi="XO Thames"/>
    </w:rPr>
  </w:style>
  <w:style w:type="character" w:customStyle="1" w:styleId="HeaderandFooter0">
    <w:name w:val="Header and Footer"/>
    <w:link w:val="HeaderandFooter"/>
    <w:rsid w:val="00C16501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C16501"/>
  </w:style>
  <w:style w:type="paragraph" w:styleId="9">
    <w:name w:val="toc 9"/>
    <w:next w:val="a"/>
    <w:link w:val="90"/>
    <w:uiPriority w:val="39"/>
    <w:rsid w:val="00C16501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C165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16501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C165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16501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C165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16501"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165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165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165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165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1650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2026-06-24T09:48:00Z</dcterms:created>
  <dcterms:modified xsi:type="dcterms:W3CDTF">2026-06-26T06:02:00Z</dcterms:modified>
</cp:coreProperties>
</file>